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pPr>
      <w:r>
        <w:rPr>
          <w:rtl w:val="0"/>
          <w:lang w:val="en-US"/>
        </w:rPr>
        <w:t>Constitution</w:t>
      </w:r>
    </w:p>
    <w:p>
      <w:pPr>
        <w:pStyle w:val="Body"/>
        <w:bidi w:val="0"/>
      </w:pPr>
      <w:r>
        <w:rPr>
          <w:rtl w:val="0"/>
          <w:lang w:val="en-US"/>
        </w:rPr>
        <w:t>Article 5</w:t>
      </w:r>
    </w:p>
    <w:p>
      <w:pPr>
        <w:pStyle w:val="Body"/>
        <w:bidi w:val="0"/>
      </w:pPr>
      <w:r>
        <w:rPr>
          <w:rtl w:val="0"/>
          <w:lang w:val="en-US"/>
        </w:rPr>
        <w:t>Organization</w:t>
      </w:r>
    </w:p>
    <w:p>
      <w:pPr>
        <w:pStyle w:val="Body"/>
        <w:bidi w:val="0"/>
      </w:pPr>
    </w:p>
    <w:p>
      <w:pPr>
        <w:pStyle w:val="Default"/>
        <w:pBdr>
          <w:top w:val="nil"/>
          <w:left w:val="nil"/>
          <w:bottom w:val="nil"/>
          <w:right w:val="nil"/>
        </w:pBdr>
        <w:bidi w:val="0"/>
        <w:spacing w:after="24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 xml:space="preserve">Section 3. </w:t>
      </w:r>
      <w:r>
        <w:rPr>
          <w:rFonts w:ascii="Times New Roman" w:hAnsi="Times New Roman"/>
          <w:sz w:val="28"/>
          <w:szCs w:val="28"/>
          <w:u w:color="000000"/>
          <w:rtl w:val="0"/>
          <w:lang w:val="en-US"/>
        </w:rPr>
        <w:t xml:space="preserve">The fiscal year of the State Lodge shall be from </w:t>
      </w:r>
      <w:r>
        <w:rPr>
          <w:rStyle w:val="Strikethrough"/>
          <w:rFonts w:ascii="Helvetica" w:hAnsi="Helvetica"/>
          <w:u w:color="000000"/>
          <w:rtl w:val="0"/>
          <w:lang w:val="en-US"/>
        </w:rPr>
        <w:t>July 1 to June 30</w:t>
      </w:r>
      <w:r>
        <w:rPr>
          <w:rFonts w:ascii="Times New Roman" w:hAnsi="Times New Roman"/>
          <w:sz w:val="28"/>
          <w:szCs w:val="28"/>
          <w:u w:color="000000"/>
          <w:rtl w:val="0"/>
          <w:lang w:val="en-US"/>
        </w:rPr>
        <w:t xml:space="preserve">, </w:t>
      </w:r>
      <w:r>
        <w:rPr>
          <w:rFonts w:ascii="Times New Roman" w:hAnsi="Times New Roman"/>
          <w:sz w:val="28"/>
          <w:szCs w:val="28"/>
          <w:u w:color="000000"/>
          <w:rtl w:val="0"/>
          <w:lang w:val="en-US"/>
        </w:rPr>
        <w:t xml:space="preserve"> </w:t>
      </w:r>
      <w:r>
        <w:rPr>
          <w:rFonts w:ascii="Times New Roman" w:hAnsi="Times New Roman"/>
          <w:color w:val="ed220b"/>
          <w:sz w:val="28"/>
          <w:szCs w:val="28"/>
          <w:u w:color="000000"/>
          <w:rtl w:val="0"/>
          <w:lang w:val="en-US"/>
        </w:rPr>
        <w:t>January 1 to December 31</w:t>
      </w:r>
      <w:r>
        <w:rPr>
          <w:rFonts w:ascii="Times New Roman" w:hAnsi="Times New Roman"/>
          <w:sz w:val="28"/>
          <w:szCs w:val="28"/>
          <w:u w:color="000000"/>
          <w:rtl w:val="0"/>
          <w:lang w:val="en-US"/>
        </w:rPr>
        <w:t xml:space="preserve">, </w:t>
      </w:r>
      <w:r>
        <w:rPr>
          <w:rStyle w:val="Strikethrough"/>
          <w:rFonts w:ascii="Helvetica" w:hAnsi="Helvetica"/>
          <w:u w:color="000000"/>
          <w:rtl w:val="0"/>
          <w:lang w:val="en-US"/>
        </w:rPr>
        <w:t>inclusive of each calendar year</w:t>
      </w:r>
      <w:r>
        <w:rPr>
          <w:rFonts w:ascii="Helvetica" w:hAnsi="Helvetica"/>
          <w:u w:color="000000"/>
          <w:rtl w:val="0"/>
          <w:lang w:val="en-US"/>
        </w:rPr>
        <w:t xml:space="preserve"> </w:t>
      </w:r>
      <w:r>
        <w:rPr>
          <w:rFonts w:ascii="Helvetica" w:hAnsi="Helvetica"/>
          <w:color w:val="ed220b"/>
          <w:u w:color="000000"/>
          <w:rtl w:val="0"/>
          <w:lang w:val="en-US"/>
        </w:rPr>
        <w:t>commencing January 1, 2020</w:t>
      </w:r>
      <w:r>
        <w:rPr>
          <w:rFonts w:ascii="Times New Roman" w:hAnsi="Times New Roman"/>
          <w:sz w:val="28"/>
          <w:szCs w:val="28"/>
          <w:u w:color="000000"/>
          <w:rtl w:val="0"/>
          <w:lang w:val="en-US"/>
        </w:rPr>
        <w:t xml:space="preserve">. In addition to an annual audit to be performed by the State Board of Trustees the State Treasurer shall cause a certified public accountant, as deemed necessary by the Board of Trustees, to conduct an annual audit of the books, records, and accounts of the Utah State Lodge and to report thereon to the State Board of Trustees. </w:t>
      </w:r>
    </w:p>
    <w:p>
      <w:pPr>
        <w:pStyle w:val="Default"/>
        <w:pBdr>
          <w:top w:val="nil"/>
          <w:left w:val="nil"/>
          <w:bottom w:val="nil"/>
          <w:right w:val="nil"/>
        </w:pBdr>
        <w:bidi w:val="0"/>
        <w:spacing w:after="24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ByLaws</w:t>
      </w:r>
    </w:p>
    <w:p>
      <w:pPr>
        <w:pStyle w:val="Default"/>
        <w:pBdr>
          <w:top w:val="nil"/>
          <w:left w:val="nil"/>
          <w:bottom w:val="nil"/>
          <w:right w:val="nil"/>
        </w:pBdr>
        <w:bidi w:val="0"/>
        <w:spacing w:after="24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Article 12</w:t>
      </w:r>
    </w:p>
    <w:p>
      <w:pPr>
        <w:pStyle w:val="Default"/>
        <w:pBdr>
          <w:top w:val="nil"/>
          <w:left w:val="nil"/>
          <w:bottom w:val="nil"/>
          <w:right w:val="nil"/>
        </w:pBdr>
        <w:bidi w:val="0"/>
        <w:spacing w:after="24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Section 2 - Committees</w:t>
      </w:r>
    </w:p>
    <w:p>
      <w:pPr>
        <w:pStyle w:val="Default"/>
        <w:pBdr>
          <w:top w:val="nil"/>
          <w:left w:val="nil"/>
          <w:bottom w:val="nil"/>
          <w:right w:val="nil"/>
        </w:pBdr>
        <w:bidi w:val="0"/>
        <w:spacing w:after="240"/>
        <w:ind w:left="450" w:right="0" w:firstLine="0"/>
        <w:jc w:val="both"/>
        <w:rPr>
          <w:rtl w:val="0"/>
        </w:rPr>
      </w:pPr>
      <w:r>
        <w:rPr>
          <w:rFonts w:ascii="Times New Roman" w:hAnsi="Times New Roman"/>
          <w:b w:val="1"/>
          <w:bCs w:val="1"/>
          <w:sz w:val="28"/>
          <w:szCs w:val="28"/>
          <w:u w:color="000000"/>
          <w:rtl w:val="0"/>
          <w:lang w:val="en-US"/>
        </w:rPr>
        <w:t xml:space="preserve">A. </w:t>
      </w:r>
      <w:r>
        <w:rPr>
          <w:rFonts w:ascii="Times New Roman" w:hAnsi="Times New Roman"/>
          <w:b w:val="0"/>
          <w:bCs w:val="0"/>
          <w:sz w:val="28"/>
          <w:szCs w:val="28"/>
          <w:u w:color="000000"/>
          <w:rtl w:val="0"/>
          <w:lang w:val="en-US"/>
        </w:rPr>
        <w:t>There shall be a standing Election Committee which shall be comprised of not less than five (5) members, appointed by the State President, with the advice and consent of the State Board of Trustees, who shall distribute the ballots and canvass the votes at the Annual Conference.</w:t>
      </w:r>
      <w:r>
        <w:rPr>
          <w:rFonts w:ascii="Times New Roman" w:hAnsi="Times New Roman"/>
          <w:b w:val="0"/>
          <w:bCs w:val="0"/>
          <w:sz w:val="28"/>
          <w:szCs w:val="28"/>
          <w:u w:color="000000"/>
          <w:rtl w:val="0"/>
          <w:lang w:val="en-US"/>
        </w:rPr>
        <w:t xml:space="preserve"> </w:t>
      </w:r>
      <w:r>
        <w:rPr>
          <w:rFonts w:ascii="Times New Roman" w:hAnsi="Times New Roman"/>
          <w:b w:val="0"/>
          <w:bCs w:val="0"/>
          <w:color w:val="ed220b"/>
          <w:sz w:val="28"/>
          <w:szCs w:val="28"/>
          <w:u w:color="000000"/>
          <w:rtl w:val="0"/>
          <w:lang w:val="en-US"/>
        </w:rPr>
        <w:t>Ballots may be produced electronically in accordance with technology approved by the Board of Trustees.</w:t>
      </w:r>
      <w:r>
        <w:rPr>
          <w:rFonts w:ascii="Times New Roman" w:cs="Times New Roman" w:hAnsi="Times New Roman" w:eastAsia="Times New Roman"/>
          <w:b w:val="1"/>
          <w:bCs w:val="1"/>
          <w:sz w:val="28"/>
          <w:szCs w:val="28"/>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Strikethrough">
    <w:name w:val="Strikethrough"/>
    <w:rPr>
      <w:strike w:val="1"/>
      <w:dstrike w:val="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